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163DE1">
        <w:trPr>
          <w:trHeight w:hRule="exact" w:val="1126"/>
        </w:trPr>
        <w:tc>
          <w:tcPr>
            <w:tcW w:w="4534" w:type="dxa"/>
            <w:gridSpan w:val="4"/>
          </w:tcPr>
          <w:p w:rsidR="00163DE1" w:rsidRDefault="002E7D0D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163DE1" w:rsidRDefault="00163DE1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163DE1" w:rsidRDefault="00163DE1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63DE1">
        <w:trPr>
          <w:trHeight w:val="3261"/>
        </w:trPr>
        <w:tc>
          <w:tcPr>
            <w:tcW w:w="4534" w:type="dxa"/>
            <w:gridSpan w:val="4"/>
          </w:tcPr>
          <w:p w:rsidR="00163DE1" w:rsidRDefault="002E7D0D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163DE1" w:rsidRDefault="002E7D0D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163DE1" w:rsidRDefault="002E7D0D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163DE1" w:rsidRDefault="002E7D0D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163DE1" w:rsidRDefault="00163DE1">
            <w:pPr>
              <w:pStyle w:val="aff4"/>
              <w:widowControl w:val="0"/>
              <w:ind w:left="-142" w:right="-144"/>
              <w:rPr>
                <w:sz w:val="18"/>
                <w:szCs w:val="18"/>
              </w:rPr>
            </w:pPr>
          </w:p>
          <w:p w:rsidR="00163DE1" w:rsidRDefault="002E7D0D">
            <w:pPr>
              <w:pStyle w:val="aff4"/>
              <w:widowControl w:val="0"/>
              <w:ind w:left="-142" w:right="-144"/>
              <w:jc w:val="center"/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Октябрьская, д. 80 г. Новосибирск, 630099</w:t>
            </w:r>
          </w:p>
          <w:p w:rsidR="00163DE1" w:rsidRDefault="002E7D0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163DE1" w:rsidRDefault="002E7D0D">
            <w:pPr>
              <w:pStyle w:val="af7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163DE1" w:rsidRDefault="00163DE1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163DE1" w:rsidRDefault="00163DE1">
            <w:pPr>
              <w:pStyle w:val="af7"/>
              <w:jc w:val="center"/>
            </w:pPr>
          </w:p>
        </w:tc>
      </w:tr>
      <w:tr w:rsidR="00163DE1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163DE1" w:rsidRDefault="002E7D0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15.04.2024 г.</w:t>
            </w:r>
          </w:p>
        </w:tc>
        <w:tc>
          <w:tcPr>
            <w:tcW w:w="416" w:type="dxa"/>
          </w:tcPr>
          <w:p w:rsidR="00163DE1" w:rsidRDefault="002E7D0D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63DE1" w:rsidRDefault="002E7D0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107-20-3-2</w:t>
            </w:r>
          </w:p>
        </w:tc>
        <w:tc>
          <w:tcPr>
            <w:tcW w:w="1052" w:type="dxa"/>
            <w:gridSpan w:val="2"/>
            <w:vMerge/>
          </w:tcPr>
          <w:p w:rsidR="00163DE1" w:rsidRDefault="00163DE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163DE1" w:rsidRDefault="00163DE1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163DE1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163DE1" w:rsidRDefault="002E7D0D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3DE1" w:rsidRDefault="002E7D0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163DE1" w:rsidRDefault="002E7D0D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3DE1" w:rsidRDefault="002E7D0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163DE1" w:rsidRDefault="00163DE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163DE1" w:rsidRDefault="00163DE1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163DE1" w:rsidRDefault="00163DE1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163DE1" w:rsidRDefault="00163DE1">
      <w:pPr>
        <w:jc w:val="both"/>
        <w:rPr>
          <w:color w:val="000000"/>
          <w:sz w:val="28"/>
          <w:szCs w:val="28"/>
        </w:rPr>
      </w:pPr>
    </w:p>
    <w:p w:rsidR="00163DE1" w:rsidRDefault="00163DE1">
      <w:pPr>
        <w:jc w:val="both"/>
        <w:rPr>
          <w:color w:val="000000"/>
          <w:sz w:val="28"/>
          <w:szCs w:val="28"/>
        </w:rPr>
      </w:pPr>
    </w:p>
    <w:p w:rsidR="00163DE1" w:rsidRDefault="002E7D0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163DE1" w:rsidRDefault="002E7D0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16.04.2024 г.</w:t>
      </w:r>
    </w:p>
    <w:p w:rsidR="00163DE1" w:rsidRDefault="002E7D0D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163DE1" w:rsidRDefault="002E7D0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63DE1" w:rsidRDefault="002E7D0D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163DE1" w:rsidRDefault="00163DE1">
      <w:pPr>
        <w:outlineLvl w:val="0"/>
        <w:rPr>
          <w:color w:val="000000"/>
          <w:sz w:val="28"/>
          <w:szCs w:val="28"/>
        </w:rPr>
      </w:pPr>
    </w:p>
    <w:p w:rsidR="00163DE1" w:rsidRDefault="002E7D0D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163DE1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63DE1" w:rsidRDefault="002E7D0D">
            <w:pPr>
              <w:widowControl w:val="0"/>
              <w:ind w:firstLine="215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163DE1" w:rsidRDefault="00163DE1">
      <w:pPr>
        <w:jc w:val="both"/>
        <w:rPr>
          <w:color w:val="000000"/>
          <w:sz w:val="22"/>
          <w:szCs w:val="22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163DE1" w:rsidRDefault="002E7D0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Днем отмечались небольшие и умеренные дожди интенсивностью до 0,1-9 мм, ночью небольшие, местами умеренные дожди интенсивностью </w:t>
      </w:r>
      <w:r>
        <w:rPr>
          <w:color w:val="000000"/>
          <w:sz w:val="28"/>
          <w:szCs w:val="28"/>
        </w:rPr>
        <w:t>до 0,1-11 мм. Ветер усиливался до 16-19 м/с. Температура воздуха составила днем +12, +19°С, местами +8, +11°С, ночью +3, +9°С, местами -2, +2°С. В отдельных районах отмечались грозы, видимость в осадках, дымках ухудшалась до 1-2 км, в туманах 200-500 м. Дн</w:t>
      </w:r>
      <w:r>
        <w:rPr>
          <w:color w:val="000000"/>
          <w:sz w:val="28"/>
          <w:szCs w:val="28"/>
        </w:rPr>
        <w:t>ем в г. Карасук отмечался град диаметром 4 мм.</w:t>
      </w:r>
    </w:p>
    <w:p w:rsidR="00163DE1" w:rsidRDefault="00163DE1">
      <w:pPr>
        <w:tabs>
          <w:tab w:val="left" w:pos="1690"/>
        </w:tabs>
        <w:ind w:firstLine="567"/>
        <w:rPr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163DE1" w:rsidRDefault="00163DE1">
      <w:pPr>
        <w:ind w:firstLine="567"/>
        <w:jc w:val="both"/>
        <w:rPr>
          <w:color w:val="000000"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163DE1" w:rsidRDefault="002E7D0D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</w:t>
      </w:r>
      <w:r>
        <w:rPr>
          <w:color w:val="000000"/>
          <w:sz w:val="28"/>
          <w:szCs w:val="28"/>
        </w:rPr>
        <w:t xml:space="preserve">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163DE1" w:rsidRDefault="00163DE1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</w:rPr>
      </w:pPr>
    </w:p>
    <w:p w:rsidR="00163DE1" w:rsidRDefault="002E7D0D">
      <w:pPr>
        <w:tabs>
          <w:tab w:val="left" w:pos="1690"/>
        </w:tabs>
        <w:ind w:firstLine="567"/>
        <w:jc w:val="both"/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:rsidR="00163DE1" w:rsidRDefault="002E7D0D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/>
        </w:rPr>
        <w:lastRenderedPageBreak/>
        <w:t>На реках области продолжается процесс разрушения ледяного покрова (закраины, подвиж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ка льда, ледостав с промоинами, разводья, ледоход). На реках Обь, Иня, Бердь, Майзас, Омь (в н.п. Чумаково и Куйбышев) продолжается процесс ледохода. На реке Каргат (н.п. Гавриловский) ледоход завершился. </w:t>
      </w:r>
    </w:p>
    <w:p w:rsidR="00163DE1" w:rsidRDefault="002E7D0D">
      <w:pPr>
        <w:ind w:firstLine="567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>Уровень воды на реках области в течение суток изме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>нялся от -82 см (р. Иня, н.п. Березовка) до +80 см (р. Бакса, н.п. Пихтовка).</w:t>
      </w:r>
    </w:p>
    <w:p w:rsidR="00163DE1" w:rsidRDefault="002E7D0D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Наблюдается снижение уровня воды на реке Карасук в Карасукском районе, на реке Иня в Тогучинском районе, и на реке Кукуй (н.п. Мереть)  в Сузунском районе. </w:t>
      </w:r>
    </w:p>
    <w:p w:rsidR="00163DE1" w:rsidRDefault="002E7D0D">
      <w:pPr>
        <w:ind w:firstLine="567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Функционирование ГЭС</w:t>
      </w:r>
    </w:p>
    <w:p w:rsidR="00163DE1" w:rsidRDefault="002E7D0D">
      <w:pPr>
        <w:ind w:firstLine="567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108,53 м БС (Балтийской системы измерений), сброс составил 2750 м³/с, приток 3580 м³</w:t>
      </w:r>
      <w:r>
        <w:rPr>
          <w:bCs/>
          <w:sz w:val="28"/>
          <w:szCs w:val="28"/>
          <w:highlight w:val="white"/>
        </w:rPr>
        <w:t>/с. Уровень воды в реке Обь находится на отметке 230 см.</w:t>
      </w:r>
    </w:p>
    <w:p w:rsidR="00163DE1" w:rsidRDefault="00163DE1">
      <w:pPr>
        <w:ind w:firstLine="567"/>
        <w:jc w:val="both"/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36"/>
        <w:gridCol w:w="1133"/>
        <w:gridCol w:w="1560"/>
        <w:gridCol w:w="1559"/>
        <w:gridCol w:w="2268"/>
      </w:tblGrid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(см) над «0»</w:t>
            </w:r>
          </w:p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графика на 15.04.2024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163DE1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eastAsia="ar-SA"/>
              </w:rPr>
              <w:t xml:space="preserve">Ледостав. Лёд </w:t>
            </w:r>
            <w:r>
              <w:rPr>
                <w:sz w:val="24"/>
                <w:szCs w:val="24"/>
                <w:lang w:eastAsia="ar-SA"/>
              </w:rPr>
              <w:t>потемнел.</w:t>
            </w:r>
          </w:p>
        </w:tc>
      </w:tr>
      <w:tr w:rsidR="00163DE1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163DE1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Дубровино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Навалы льда на берегах.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Ледоход.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t>-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eastAsia="ar-SA"/>
              </w:rPr>
              <w:t>Ледоход. Навалы льда на берегах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+80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644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Ледоход.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Забереги остаточные.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Разводья. Подвижка льда.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163DE1">
        <w:trPr>
          <w:trHeight w:val="24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163DE1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Ледоход.</w:t>
            </w:r>
          </w:p>
        </w:tc>
      </w:tr>
      <w:tr w:rsidR="00163DE1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р. </w:t>
            </w:r>
            <w:r>
              <w:rPr>
                <w:sz w:val="24"/>
                <w:szCs w:val="24"/>
                <w:lang w:eastAsia="ar-SA"/>
              </w:rPr>
              <w:t>Каргат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63DE1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E1" w:rsidRDefault="002E7D0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E1" w:rsidRDefault="002E7D0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163DE1" w:rsidRDefault="00163DE1">
      <w:pPr>
        <w:ind w:firstLine="567"/>
        <w:rPr>
          <w:b/>
          <w:color w:val="000000"/>
          <w:sz w:val="28"/>
          <w:szCs w:val="28"/>
          <w:highlight w:val="yellow"/>
        </w:rPr>
      </w:pPr>
      <w:bookmarkStart w:id="0" w:name="_Hlk130909852"/>
      <w:bookmarkEnd w:id="0"/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3-х населенных пунктах Карасукского, Тогучинского, Сузунского районов (н.п. Чернокурья, г. Тогучин, н.п. Мереть) подтопленных жилых домов нет.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Подтоплен 41 приусадебный участок: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г. Тогучин - 4 участка;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н.п. Мереть - 9 участков;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н.п. Чернокурья - 28 участков.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>
        <w:rPr>
          <w:sz w:val="28"/>
          <w:szCs w:val="28"/>
          <w:highlight w:val="white"/>
        </w:rPr>
        <w:t xml:space="preserve"> 4 СНТ подтоплено 138 дачных участков (за сутки подтопленных участков нет). Освободилось от воды - в Новосибирском районе 80 участков в СНТ «Рябинка» и 7 участков в СНТ</w:t>
      </w:r>
      <w:r>
        <w:rPr>
          <w:sz w:val="28"/>
          <w:szCs w:val="28"/>
          <w:highlight w:val="white"/>
        </w:rPr>
        <w:t xml:space="preserve"> «Бурводовец». В Мошковском районе - 91 участок в СНТ «Кедр» и 130 участков в СНТ «Кирпичник».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Проводится работа по оказанию адресной помощи населению, ведется мониторинг складывающейся обстановки.</w:t>
      </w:r>
    </w:p>
    <w:p w:rsidR="00163DE1" w:rsidRDefault="00163DE1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163DE1" w:rsidRDefault="002E7D0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163DE1" w:rsidRDefault="00163DE1">
      <w:pPr>
        <w:ind w:firstLine="567"/>
        <w:jc w:val="both"/>
        <w:rPr>
          <w:color w:val="000000"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</w:t>
      </w:r>
      <w:r>
        <w:rPr>
          <w:b/>
          <w:color w:val="000000"/>
          <w:sz w:val="28"/>
          <w:szCs w:val="28"/>
        </w:rPr>
        <w:t>кая обстановка.</w:t>
      </w:r>
    </w:p>
    <w:p w:rsidR="00163DE1" w:rsidRDefault="002E7D0D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:rsidR="00163DE1" w:rsidRDefault="00163DE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163DE1" w:rsidRDefault="00163DE1">
      <w:pPr>
        <w:ind w:firstLine="567"/>
        <w:jc w:val="both"/>
        <w:rPr>
          <w:b/>
          <w:color w:val="000000"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163DE1" w:rsidRDefault="00163DE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1.9. Пожарная обстановка.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прошедшие сутки на территории области зарегистрировано 8 пожаров (в жилом секторе 3), в результате </w:t>
      </w:r>
      <w:r>
        <w:rPr>
          <w:sz w:val="28"/>
          <w:szCs w:val="28"/>
          <w:highlight w:val="white"/>
        </w:rPr>
        <w:t>которых 2 человека погибли (Мошковский район, с Дубровино), травмированных нет. Причины пожаров, виновные лица и материальный ущерб устанавливаются.</w:t>
      </w:r>
    </w:p>
    <w:p w:rsidR="00163DE1" w:rsidRDefault="00163DE1">
      <w:pPr>
        <w:ind w:firstLine="567"/>
        <w:jc w:val="both"/>
        <w:rPr>
          <w:b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1.10. Обстановка на объектах энергетики.</w:t>
      </w:r>
    </w:p>
    <w:p w:rsidR="00163DE1" w:rsidRDefault="002E7D0D">
      <w:pPr>
        <w:ind w:firstLine="567"/>
        <w:jc w:val="both"/>
      </w:pPr>
      <w:r>
        <w:rPr>
          <w:sz w:val="28"/>
          <w:szCs w:val="28"/>
        </w:rPr>
        <w:t>Энергосистема Новосибирской области работает в штатном режиме.</w:t>
      </w:r>
    </w:p>
    <w:p w:rsidR="00163DE1" w:rsidRDefault="00163DE1">
      <w:pPr>
        <w:ind w:firstLine="567"/>
        <w:jc w:val="both"/>
        <w:rPr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1.11. Обстановка на объектах ЖКХ.</w:t>
      </w:r>
    </w:p>
    <w:p w:rsidR="00163DE1" w:rsidRDefault="002E7D0D">
      <w:pPr>
        <w:ind w:firstLine="567"/>
        <w:jc w:val="both"/>
      </w:pPr>
      <w:r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163DE1" w:rsidRDefault="00163DE1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:rsidR="00163DE1" w:rsidRDefault="002E7D0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прошедшие сутки на водных о</w:t>
      </w:r>
      <w:r>
        <w:rPr>
          <w:sz w:val="28"/>
          <w:szCs w:val="28"/>
          <w:highlight w:val="white"/>
        </w:rPr>
        <w:t>бъектах области происшествий не зарегистрировано.</w:t>
      </w:r>
    </w:p>
    <w:p w:rsidR="00163DE1" w:rsidRDefault="002E7D0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В соответствии с Планом проведения Месячника безопасности людей на водных объектах на территории Новосибирской области организовано проведение пятого этапа акции «Безопасный лёд».</w:t>
      </w:r>
    </w:p>
    <w:p w:rsidR="00163DE1" w:rsidRDefault="00163DE1">
      <w:pPr>
        <w:ind w:firstLine="567"/>
        <w:jc w:val="both"/>
        <w:rPr>
          <w:b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1.13. Обстановка на дорог</w:t>
      </w:r>
      <w:r>
        <w:rPr>
          <w:b/>
          <w:sz w:val="28"/>
          <w:szCs w:val="28"/>
        </w:rPr>
        <w:t>ах.</w:t>
      </w:r>
    </w:p>
    <w:p w:rsidR="00163DE1" w:rsidRDefault="002E7D0D">
      <w:pPr>
        <w:ind w:firstLine="567"/>
        <w:jc w:val="both"/>
        <w:rPr>
          <w:highlight w:val="white"/>
        </w:rPr>
      </w:pPr>
      <w:bookmarkStart w:id="1" w:name="_Hlk133589652"/>
      <w:r>
        <w:rPr>
          <w:sz w:val="28"/>
          <w:szCs w:val="28"/>
          <w:highlight w:val="white"/>
        </w:rPr>
        <w:t>На дорогах области за прошедшие сутки зарегистрировано 5 ДТП, в результате которых 2 человека погибло и 9 человек травмировано.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highlight w:val="white"/>
          <w:lang w:eastAsia="ru-RU"/>
        </w:rPr>
        <w:t>а контроле остается 10 переливов через автомобильные дороги местного значения в 6 районах области (Карасукский, Кочковском,</w:t>
      </w:r>
      <w:r>
        <w:rPr>
          <w:color w:val="000000"/>
          <w:sz w:val="28"/>
          <w:szCs w:val="28"/>
          <w:highlight w:val="white"/>
          <w:lang w:eastAsia="ru-RU"/>
        </w:rPr>
        <w:t xml:space="preserve"> Краснозерском, Усть-Таркском, Чулымском, Болотнинском). Глубина переливов составляет от 3 до 20 см. Сотрудниками ДРСУ организован мониторинг, выставлены сигнальные вешки, проводится отсыпка дорожного полотна.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highlight w:val="white"/>
          <w:lang w:eastAsia="ru-RU"/>
        </w:rPr>
        <w:t xml:space="preserve"> связи с весенней распутицей, временно прекра</w:t>
      </w:r>
      <w:r>
        <w:rPr>
          <w:color w:val="000000"/>
          <w:sz w:val="28"/>
          <w:szCs w:val="28"/>
          <w:highlight w:val="white"/>
          <w:lang w:eastAsia="ru-RU"/>
        </w:rPr>
        <w:t>щено автобусное сообщение с 10 населенными пунктами по 8 маршрутам в Куйбышевском и Татарском районах.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  <w:t>Отрезанных населенных пунктов нет, сообщение осуществлялось автомобилями повышенной проходимости.</w:t>
      </w:r>
    </w:p>
    <w:p w:rsidR="00163DE1" w:rsidRDefault="00163DE1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:rsidR="00163DE1" w:rsidRDefault="00163DE1">
      <w:pPr>
        <w:ind w:firstLine="567"/>
        <w:jc w:val="both"/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12072656"/>
      <w:bookmarkStart w:id="6" w:name="_Hlk116826015"/>
      <w:bookmarkStart w:id="7" w:name="_Hlk100251273"/>
      <w:r>
        <w:rPr>
          <w:b/>
          <w:sz w:val="28"/>
          <w:szCs w:val="28"/>
        </w:rPr>
        <w:t>.</w:t>
      </w:r>
      <w:bookmarkStart w:id="8" w:name="_Hlk131602128"/>
      <w:bookmarkStart w:id="9" w:name="_Hlk124687129"/>
      <w:bookmarkStart w:id="10" w:name="_Hlk124687111"/>
      <w:bookmarkStart w:id="11" w:name="_Hlk120367289"/>
      <w:bookmarkStart w:id="12" w:name="_Hlk155967996"/>
      <w:bookmarkStart w:id="13" w:name="_Hlk138432638"/>
      <w:bookmarkEnd w:id="1"/>
      <w:bookmarkEnd w:id="2"/>
      <w:bookmarkEnd w:id="3"/>
      <w:bookmarkEnd w:id="4"/>
      <w:bookmarkEnd w:id="5"/>
      <w:bookmarkEnd w:id="6"/>
      <w:bookmarkEnd w:id="7"/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  <w:t>Переменная облачность, преимущественно без осадков, ночью по востоку местами небольшие осадки в виде мокрого снега и дождя. Ночью и утром в отдельных районах туманы.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  <w:t>Ветер северо-западный, переходом на северо-восточный, ночью</w:t>
      </w:r>
      <w:r>
        <w:rPr>
          <w:color w:val="000000"/>
          <w:sz w:val="28"/>
          <w:szCs w:val="28"/>
          <w:highlight w:val="white"/>
          <w:lang w:eastAsia="ru-RU"/>
        </w:rPr>
        <w:t xml:space="preserve"> 4-9 м/с местами порывы до 14 м/с днем 2-7 м/с местами порывы до 12 м/с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ru-RU"/>
        </w:rPr>
        <w:t>Температура воздуха</w:t>
      </w:r>
      <w:bookmarkEnd w:id="8"/>
      <w:bookmarkEnd w:id="9"/>
      <w:bookmarkEnd w:id="10"/>
      <w:bookmarkEnd w:id="11"/>
      <w:bookmarkEnd w:id="12"/>
      <w:bookmarkEnd w:id="13"/>
      <w:r>
        <w:rPr>
          <w:color w:val="000000"/>
          <w:sz w:val="28"/>
          <w:szCs w:val="28"/>
          <w:highlight w:val="white"/>
          <w:lang w:eastAsia="ru-RU"/>
        </w:rPr>
        <w:t xml:space="preserve"> ночью -1, -6</w:t>
      </w:r>
      <w:r>
        <w:rPr>
          <w:sz w:val="28"/>
          <w:szCs w:val="28"/>
          <w:highlight w:val="white"/>
          <w:lang w:eastAsia="ru-RU"/>
        </w:rPr>
        <w:t xml:space="preserve"> °С</w:t>
      </w:r>
      <w:r>
        <w:rPr>
          <w:color w:val="000000"/>
          <w:sz w:val="28"/>
          <w:szCs w:val="28"/>
          <w:highlight w:val="white"/>
          <w:lang w:eastAsia="ru-RU"/>
        </w:rPr>
        <w:t>, местами до -11</w:t>
      </w:r>
      <w:r>
        <w:rPr>
          <w:sz w:val="28"/>
          <w:szCs w:val="28"/>
          <w:highlight w:val="white"/>
          <w:lang w:eastAsia="ru-RU"/>
        </w:rPr>
        <w:t>°С</w:t>
      </w:r>
      <w:r>
        <w:rPr>
          <w:color w:val="000000"/>
          <w:sz w:val="28"/>
          <w:szCs w:val="28"/>
          <w:highlight w:val="white"/>
          <w:lang w:eastAsia="ru-RU"/>
        </w:rPr>
        <w:t xml:space="preserve">. Днём </w:t>
      </w:r>
      <w:r>
        <w:rPr>
          <w:sz w:val="28"/>
          <w:szCs w:val="28"/>
          <w:highlight w:val="white"/>
          <w:lang w:eastAsia="ru-RU"/>
        </w:rPr>
        <w:t>+5, +10 °С.</w:t>
      </w:r>
    </w:p>
    <w:p w:rsidR="00163DE1" w:rsidRDefault="00163DE1">
      <w:pPr>
        <w:ind w:firstLine="567"/>
        <w:jc w:val="both"/>
        <w:rPr>
          <w:sz w:val="28"/>
          <w:szCs w:val="28"/>
          <w:highlight w:val="yellow"/>
        </w:rPr>
      </w:pPr>
    </w:p>
    <w:p w:rsidR="00163DE1" w:rsidRDefault="002E7D0D">
      <w:pPr>
        <w:ind w:firstLine="567"/>
      </w:pPr>
      <w:r>
        <w:rPr>
          <w:b/>
          <w:sz w:val="28"/>
          <w:szCs w:val="28"/>
        </w:rPr>
        <w:t>2.2. Прогноз экологической обстановки.</w:t>
      </w:r>
    </w:p>
    <w:p w:rsidR="00163DE1" w:rsidRDefault="002E7D0D">
      <w:pPr>
        <w:ind w:firstLine="567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Метеоусловия не будут способствовать накоплению вредных примесей в </w:t>
      </w:r>
      <w:r>
        <w:rPr>
          <w:bCs/>
          <w:sz w:val="28"/>
          <w:szCs w:val="28"/>
          <w:highlight w:val="white"/>
        </w:rPr>
        <w:t>воздухе города. Общий уровень загрязнения сохранится пониженный.</w:t>
      </w:r>
    </w:p>
    <w:p w:rsidR="00163DE1" w:rsidRDefault="00163DE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  <w:r>
        <w:t xml:space="preserve"> </w:t>
      </w:r>
    </w:p>
    <w:p w:rsidR="00163DE1" w:rsidRDefault="002E7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образовании заторов льда на р. Бердь в районе н.п. Легостаево  Искитимского района, возможен подъем уровня воды и подтопление прибрежной те</w:t>
      </w:r>
      <w:r>
        <w:rPr>
          <w:sz w:val="28"/>
          <w:szCs w:val="28"/>
        </w:rPr>
        <w:t>рритории населенного пункта, подтопление жилых домов и хозяйственных построек не прогнозируется.</w:t>
      </w:r>
    </w:p>
    <w:p w:rsidR="00163DE1" w:rsidRDefault="002E7D0D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связи с выпавшими и прогнозируемыми осадками и положительными температурами воздуха ожидается не значительное повышение уровня воды в малых реках. В результа</w:t>
      </w:r>
      <w:r>
        <w:rPr>
          <w:sz w:val="28"/>
          <w:szCs w:val="28"/>
        </w:rPr>
        <w:t>те чего возможно частичное подтопление пониженных участков местности, подвальных помещений зданий и сооружений, хозяйственных построек, автомобильных дорог (причина снеготаяние, отсутствие, либо захламленность дренажных систем и засорение водоотводных кана</w:t>
      </w:r>
      <w:r>
        <w:rPr>
          <w:sz w:val="28"/>
          <w:szCs w:val="28"/>
        </w:rPr>
        <w:t xml:space="preserve">лов склоновыми стоками), подтопление жилых домов и объектов экономики не прогнозируется. </w:t>
      </w:r>
    </w:p>
    <w:p w:rsidR="00163DE1" w:rsidRDefault="00163DE1">
      <w:pPr>
        <w:tabs>
          <w:tab w:val="left" w:pos="0"/>
        </w:tabs>
        <w:ind w:firstLine="567"/>
        <w:rPr>
          <w:b/>
          <w:bCs/>
          <w:sz w:val="28"/>
          <w:szCs w:val="28"/>
          <w:highlight w:val="yellow"/>
        </w:rPr>
      </w:pPr>
    </w:p>
    <w:p w:rsidR="00163DE1" w:rsidRDefault="002E7D0D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163DE1" w:rsidRDefault="002E7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 КВ - радиосвязи маловероятно. Озоновый слой выше нормы.</w:t>
      </w:r>
    </w:p>
    <w:p w:rsidR="00163DE1" w:rsidRDefault="00163DE1">
      <w:pPr>
        <w:ind w:firstLine="567"/>
        <w:rPr>
          <w:color w:val="000000"/>
          <w:sz w:val="28"/>
          <w:szCs w:val="28"/>
        </w:rPr>
      </w:pPr>
    </w:p>
    <w:p w:rsidR="00163DE1" w:rsidRDefault="002E7D0D">
      <w:pPr>
        <w:ind w:firstLine="567"/>
      </w:pPr>
      <w:r>
        <w:rPr>
          <w:b/>
          <w:color w:val="000000"/>
          <w:sz w:val="28"/>
          <w:szCs w:val="28"/>
        </w:rPr>
        <w:t>2.5. Прогн</w:t>
      </w:r>
      <w:r>
        <w:rPr>
          <w:b/>
          <w:color w:val="000000"/>
          <w:sz w:val="28"/>
          <w:szCs w:val="28"/>
        </w:rPr>
        <w:t>оз сейсмической обстановки.</w:t>
      </w:r>
    </w:p>
    <w:p w:rsidR="00163DE1" w:rsidRDefault="002E7D0D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163DE1" w:rsidRDefault="00163DE1">
      <w:pPr>
        <w:ind w:firstLine="567"/>
        <w:rPr>
          <w:color w:val="000000"/>
          <w:sz w:val="28"/>
          <w:szCs w:val="28"/>
        </w:rPr>
      </w:pPr>
    </w:p>
    <w:p w:rsidR="00163DE1" w:rsidRDefault="002E7D0D">
      <w:pPr>
        <w:ind w:firstLine="567"/>
      </w:pPr>
      <w:r>
        <w:rPr>
          <w:b/>
          <w:color w:val="000000"/>
          <w:sz w:val="28"/>
          <w:szCs w:val="28"/>
        </w:rPr>
        <w:t>2.6. Санитарно-эпидемический прогноз.</w:t>
      </w:r>
      <w:bookmarkStart w:id="14" w:name="_Hlk78032653"/>
      <w:bookmarkEnd w:id="14"/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ЧС маловероятно.</w:t>
      </w:r>
    </w:p>
    <w:p w:rsidR="00163DE1" w:rsidRDefault="002E7D0D">
      <w:pPr>
        <w:ind w:firstLine="567"/>
        <w:jc w:val="both"/>
      </w:pPr>
      <w:r>
        <w:rPr>
          <w:sz w:val="28"/>
          <w:szCs w:val="28"/>
          <w:lang w:eastAsia="ar-SA"/>
        </w:rPr>
        <w:t>В связи со сходом снежного покрова на открытых территориях, возможны единичные случаи обращения людей за</w:t>
      </w:r>
      <w:r>
        <w:rPr>
          <w:sz w:val="28"/>
          <w:szCs w:val="28"/>
          <w:lang w:eastAsia="ar-SA"/>
        </w:rPr>
        <w:t xml:space="preserve"> медицинской помощью, связанные с укусами клещей, которые являются переносчиками клещевого энцефалита.</w:t>
      </w:r>
    </w:p>
    <w:p w:rsidR="00163DE1" w:rsidRDefault="002E7D0D">
      <w:pPr>
        <w:ind w:firstLine="567"/>
        <w:jc w:val="both"/>
      </w:pPr>
      <w:r>
        <w:rPr>
          <w:sz w:val="28"/>
          <w:szCs w:val="28"/>
          <w:lang w:eastAsia="ar-SA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</w:t>
      </w:r>
      <w:r>
        <w:rPr>
          <w:sz w:val="28"/>
          <w:szCs w:val="28"/>
          <w:lang w:eastAsia="ar-SA"/>
        </w:rPr>
        <w:t>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163DE1" w:rsidRDefault="00163DE1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Прогноз эпизоотической обстановки.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>маловероятны. Возможны единичные случаи заболевания животных бешенством.</w:t>
      </w:r>
    </w:p>
    <w:p w:rsidR="00163DE1" w:rsidRDefault="00163DE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163DE1" w:rsidRDefault="002E7D0D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:rsidR="00163DE1" w:rsidRDefault="002E7D0D">
      <w:pPr>
        <w:ind w:firstLine="567"/>
        <w:jc w:val="both"/>
      </w:pPr>
      <w:bookmarkStart w:id="15" w:name="_Hlk152942468"/>
      <w:r>
        <w:rPr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</w:t>
      </w:r>
      <w:r>
        <w:rPr>
          <w:sz w:val="28"/>
          <w:szCs w:val="28"/>
        </w:rPr>
        <w:t xml:space="preserve"> с постоянным проживанием людей, связанный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</w:t>
      </w:r>
      <w:r>
        <w:rPr>
          <w:sz w:val="28"/>
          <w:szCs w:val="28"/>
        </w:rPr>
        <w:t>я.</w:t>
      </w:r>
    </w:p>
    <w:p w:rsidR="00163DE1" w:rsidRDefault="002E7D0D">
      <w:pPr>
        <w:ind w:firstLine="567"/>
        <w:jc w:val="both"/>
      </w:pPr>
      <w:r>
        <w:rPr>
          <w:sz w:val="28"/>
          <w:szCs w:val="28"/>
        </w:rPr>
        <w:t>Причинами возгорания могут стать неосторожное обращение населения с огнём, в том числе при курении, нарушение правил устройства и эксплуатации электрооборудования, нарушение правил монтажа и эксплуатации</w:t>
      </w:r>
      <w:r>
        <w:rPr>
          <w:color w:val="000000"/>
          <w:sz w:val="28"/>
          <w:szCs w:val="28"/>
        </w:rPr>
        <w:t xml:space="preserve"> электропроводки.</w:t>
      </w:r>
      <w:bookmarkEnd w:id="15"/>
    </w:p>
    <w:p w:rsidR="00163DE1" w:rsidRDefault="00163DE1">
      <w:pPr>
        <w:ind w:firstLine="567"/>
        <w:jc w:val="both"/>
        <w:rPr>
          <w:b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2.9. Прогноз обстановки на объе</w:t>
      </w:r>
      <w:r>
        <w:rPr>
          <w:b/>
          <w:sz w:val="28"/>
          <w:szCs w:val="28"/>
        </w:rPr>
        <w:t>ктах энергетики.</w:t>
      </w:r>
    </w:p>
    <w:p w:rsidR="00163DE1" w:rsidRDefault="002E7D0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rPr>
          <w:highlight w:val="white"/>
        </w:rPr>
        <w:t xml:space="preserve"> </w:t>
      </w:r>
    </w:p>
    <w:p w:rsidR="00163DE1" w:rsidRDefault="002E7D0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Не исключается вероятность подтопления объектов энергетики в том числе опор ЛЭП, что может привести к их подмыву и падению</w:t>
      </w:r>
      <w:r>
        <w:rPr>
          <w:sz w:val="28"/>
          <w:szCs w:val="28"/>
          <w:highlight w:val="white"/>
        </w:rPr>
        <w:t>, обрыву и провисанию проводов.</w:t>
      </w:r>
    </w:p>
    <w:p w:rsidR="00163DE1" w:rsidRDefault="002E7D0D">
      <w:pPr>
        <w:ind w:firstLine="567"/>
        <w:jc w:val="both"/>
        <w:rPr>
          <w:highlight w:val="white"/>
        </w:rPr>
      </w:pPr>
      <w:bookmarkStart w:id="16" w:name="_Hlk163747381"/>
      <w:r>
        <w:rPr>
          <w:sz w:val="28"/>
          <w:szCs w:val="28"/>
          <w:highlight w:val="white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</w:t>
      </w:r>
      <w:r>
        <w:rPr>
          <w:sz w:val="28"/>
          <w:szCs w:val="28"/>
          <w:highlight w:val="white"/>
        </w:rPr>
        <w:t>я ремонтных работ из-за возможного нарушения транспортного сообщения.</w:t>
      </w:r>
      <w:bookmarkEnd w:id="16"/>
    </w:p>
    <w:p w:rsidR="00163DE1" w:rsidRDefault="00163DE1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163DE1" w:rsidRDefault="002E7D0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2.10. Прогноз обстановки на объектах ЖКХ.</w:t>
      </w:r>
      <w:bookmarkStart w:id="17" w:name="_Hlk122957635"/>
    </w:p>
    <w:p w:rsidR="00163DE1" w:rsidRDefault="002E7D0D">
      <w:pPr>
        <w:ind w:firstLine="567"/>
        <w:jc w:val="both"/>
      </w:pPr>
      <w:r>
        <w:rPr>
          <w:sz w:val="28"/>
          <w:szCs w:val="28"/>
        </w:rPr>
        <w:lastRenderedPageBreak/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</w:t>
      </w:r>
      <w:r>
        <w:rPr>
          <w:sz w:val="28"/>
          <w:szCs w:val="28"/>
        </w:rPr>
        <w:t>ные с прохождением отопительного периода.</w:t>
      </w:r>
    </w:p>
    <w:p w:rsidR="00163DE1" w:rsidRDefault="002E7D0D">
      <w:pPr>
        <w:ind w:firstLine="567"/>
        <w:jc w:val="both"/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</w:t>
      </w:r>
      <w:r>
        <w:rPr>
          <w:color w:val="000000"/>
          <w:sz w:val="28"/>
          <w:szCs w:val="28"/>
        </w:rPr>
        <w:t xml:space="preserve"> г. Новосибирск, Искитим, Бердск, Куйбышев, Новосибирский, Искитимский, Тогучин</w:t>
      </w:r>
      <w:r>
        <w:rPr>
          <w:color w:val="000000"/>
          <w:sz w:val="28"/>
          <w:szCs w:val="28"/>
        </w:rPr>
        <w:t>ский, Краснозерский, Коченевский, Мошковский, Ордынский и Черепановский районы Новосибирской области.</w:t>
      </w:r>
    </w:p>
    <w:p w:rsidR="00163DE1" w:rsidRDefault="00163DE1">
      <w:pPr>
        <w:ind w:firstLine="567"/>
        <w:jc w:val="both"/>
        <w:rPr>
          <w:color w:val="000000"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color w:val="000000"/>
          <w:sz w:val="28"/>
          <w:szCs w:val="28"/>
        </w:rPr>
        <w:t>2.11. Прогноз происшествий на водных объектах</w:t>
      </w:r>
      <w:bookmarkEnd w:id="17"/>
      <w:r>
        <w:rPr>
          <w:b/>
          <w:color w:val="000000"/>
          <w:sz w:val="28"/>
          <w:szCs w:val="28"/>
        </w:rPr>
        <w:t>.</w:t>
      </w:r>
    </w:p>
    <w:p w:rsidR="00163DE1" w:rsidRDefault="002E7D0D">
      <w:pPr>
        <w:ind w:firstLine="567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Сохраняется вероятность возникновения несчастных случаев и происшествий на водоемах, связанных с провалом </w:t>
      </w:r>
      <w:r>
        <w:rPr>
          <w:sz w:val="28"/>
          <w:szCs w:val="28"/>
          <w:highlight w:val="white"/>
        </w:rPr>
        <w:t>людей в местах выхода на тонкий лед на водных объектах, не вскрывшихся ото льда, а на водоёмах, освободившихся ото льда - в случаях нарушения правил безопасности при пользовании маломерными плавательными средствами при лове рыбы, по причине оставления дете</w:t>
      </w:r>
      <w:r>
        <w:rPr>
          <w:sz w:val="28"/>
          <w:szCs w:val="28"/>
          <w:highlight w:val="white"/>
        </w:rPr>
        <w:t xml:space="preserve">й без присмотра вблизи водоемов с наибольшей  вероятностью на Новосибирском водохранилище, </w:t>
      </w:r>
      <w:r>
        <w:rPr>
          <w:sz w:val="28"/>
          <w:highlight w:val="white"/>
        </w:rPr>
        <w:t xml:space="preserve">на реках Обь, Бердь, </w:t>
      </w:r>
      <w:r>
        <w:rPr>
          <w:sz w:val="28"/>
          <w:szCs w:val="28"/>
          <w:highlight w:val="white"/>
        </w:rPr>
        <w:t>Иня, Омь, озерах Чаны, Малые Чаны, Яркуль и Сартлан.</w:t>
      </w:r>
    </w:p>
    <w:p w:rsidR="00163DE1" w:rsidRDefault="00163DE1">
      <w:pPr>
        <w:ind w:firstLine="567"/>
        <w:jc w:val="both"/>
        <w:rPr>
          <w:b/>
          <w:sz w:val="28"/>
          <w:szCs w:val="28"/>
        </w:rPr>
      </w:pPr>
    </w:p>
    <w:p w:rsidR="00163DE1" w:rsidRDefault="002E7D0D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:rsidR="00163DE1" w:rsidRDefault="002E7D0D">
      <w:pPr>
        <w:ind w:firstLine="567"/>
        <w:jc w:val="both"/>
      </w:pPr>
      <w:bookmarkStart w:id="18" w:name="_Hlk163747474"/>
      <w:r>
        <w:rPr>
          <w:sz w:val="28"/>
          <w:szCs w:val="28"/>
          <w:highlight w:val="white"/>
        </w:rPr>
        <w:t xml:space="preserve">Туманы в ночные и утренние часы, </w:t>
      </w:r>
      <w:bookmarkEnd w:id="18"/>
      <w:r>
        <w:rPr>
          <w:sz w:val="28"/>
          <w:szCs w:val="28"/>
          <w:highlight w:val="white"/>
        </w:rPr>
        <w:t>ухудш</w:t>
      </w:r>
      <w:r>
        <w:rPr>
          <w:sz w:val="28"/>
          <w:szCs w:val="28"/>
        </w:rPr>
        <w:t xml:space="preserve">ение дорожного </w:t>
      </w:r>
      <w:r>
        <w:rPr>
          <w:sz w:val="28"/>
          <w:szCs w:val="28"/>
        </w:rPr>
        <w:t>покрытия, большое количество автотранспорта, в том числе</w:t>
      </w:r>
      <w:r>
        <w:t xml:space="preserve"> </w:t>
      </w:r>
      <w:r>
        <w:rPr>
          <w:sz w:val="28"/>
          <w:szCs w:val="28"/>
        </w:rPr>
        <w:t xml:space="preserve"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</w:t>
      </w:r>
      <w:r>
        <w:rPr>
          <w:sz w:val="28"/>
          <w:szCs w:val="28"/>
        </w:rPr>
        <w:t>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</w:t>
      </w:r>
      <w:r>
        <w:rPr>
          <w:sz w:val="28"/>
          <w:szCs w:val="28"/>
        </w:rPr>
        <w:t>еральных и территориальных трасс: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</w:t>
      </w:r>
      <w:r>
        <w:rPr>
          <w:color w:val="000000"/>
          <w:sz w:val="28"/>
          <w:szCs w:val="28"/>
        </w:rPr>
        <w:t>Бердск, протяженность 0,18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</w:t>
      </w:r>
      <w:r>
        <w:rPr>
          <w:color w:val="000000"/>
          <w:sz w:val="28"/>
          <w:szCs w:val="28"/>
        </w:rPr>
        <w:t xml:space="preserve"> (Искитимский район, протяженность 0,765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</w:t>
      </w:r>
      <w:r>
        <w:rPr>
          <w:color w:val="000000"/>
          <w:sz w:val="28"/>
          <w:szCs w:val="28"/>
        </w:rPr>
        <w:t>н, протяженность 2,012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</w:t>
      </w:r>
      <w:r>
        <w:rPr>
          <w:color w:val="000000"/>
          <w:sz w:val="28"/>
          <w:szCs w:val="28"/>
        </w:rPr>
        <w:t>м, пересечение с железнодорожными путями в одном уровне);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62,409 км по 63,188 км (Мошковский район, протяженность 0,779 км, </w:t>
      </w:r>
      <w:r>
        <w:rPr>
          <w:color w:val="000000"/>
          <w:sz w:val="28"/>
          <w:szCs w:val="28"/>
        </w:rPr>
        <w:t>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</w:t>
      </w:r>
      <w:r>
        <w:rPr>
          <w:color w:val="000000"/>
          <w:sz w:val="28"/>
          <w:szCs w:val="28"/>
        </w:rPr>
        <w:t>м по 91,863 км (Мошковский район, протяженность 1,443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105,320 км по 106,370 км (Болотнинский район, </w:t>
      </w:r>
      <w:r>
        <w:rPr>
          <w:color w:val="000000"/>
          <w:sz w:val="28"/>
          <w:szCs w:val="28"/>
        </w:rPr>
        <w:t>протяженность 1,350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107,825 км по 108,502 км (Болотнинский район, протяженность 0,677 км, опасный </w:t>
      </w:r>
      <w:r>
        <w:rPr>
          <w:color w:val="000000"/>
          <w:sz w:val="28"/>
          <w:szCs w:val="28"/>
        </w:rPr>
        <w:t>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</w:t>
      </w:r>
      <w:r>
        <w:rPr>
          <w:color w:val="000000"/>
          <w:sz w:val="28"/>
          <w:szCs w:val="28"/>
        </w:rPr>
        <w:t xml:space="preserve"> км по 139,785 км (Болотнинский район, протяженность 0,757 км, крутой спуск (подъём)).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 К-17</w:t>
      </w:r>
      <w:r>
        <w:rPr>
          <w:color w:val="000000"/>
          <w:sz w:val="28"/>
          <w:szCs w:val="28"/>
        </w:rPr>
        <w:t>р – с 80 по 105 км Ордынского района;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9" w:name="_Hlk84255620"/>
      <w:r>
        <w:t xml:space="preserve"> 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163DE1" w:rsidRDefault="00163DE1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163DE1" w:rsidRDefault="002E7D0D">
      <w:pPr>
        <w:ind w:firstLine="567"/>
        <w:jc w:val="both"/>
      </w:pPr>
      <w:bookmarkStart w:id="2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9"/>
      <w:bookmarkEnd w:id="20"/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</w:t>
      </w:r>
      <w:r>
        <w:rPr>
          <w:color w:val="000000"/>
          <w:sz w:val="28"/>
          <w:szCs w:val="28"/>
        </w:rPr>
        <w:t>ации по порядку реагирования на него.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контроль за своевременным оповещением населения, руководителей и ответственных лиц учреждений здравоохранения и социальной </w:t>
      </w:r>
      <w:r>
        <w:rPr>
          <w:color w:val="000000"/>
          <w:sz w:val="28"/>
          <w:szCs w:val="28"/>
        </w:rPr>
        <w:lastRenderedPageBreak/>
        <w:t>защиты всех форм собственности на подведомственной территории об изменении обстановки.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- о соблюдении правил пожарной безопасности и безопасности при эксплуатации газового, электрического и </w:t>
      </w:r>
      <w:r>
        <w:rPr>
          <w:color w:val="000000"/>
          <w:sz w:val="28"/>
          <w:szCs w:val="28"/>
        </w:rPr>
        <w:t>печного оборудования, в жилых домах и на объектах административно-хозяйственного и промышленного назначения;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</w:t>
      </w:r>
      <w:r>
        <w:rPr>
          <w:color w:val="000000"/>
          <w:sz w:val="28"/>
          <w:szCs w:val="28"/>
        </w:rPr>
        <w:t xml:space="preserve"> реагированию на возможные ЧС: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</w:t>
      </w:r>
      <w:r>
        <w:rPr>
          <w:color w:val="000000"/>
          <w:sz w:val="28"/>
          <w:szCs w:val="28"/>
        </w:rPr>
        <w:t>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</w:t>
      </w:r>
      <w:r>
        <w:rPr>
          <w:color w:val="000000"/>
          <w:sz w:val="28"/>
          <w:szCs w:val="28"/>
        </w:rPr>
        <w:t>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Провести проверку исправ</w:t>
      </w:r>
      <w:r>
        <w:rPr>
          <w:color w:val="000000"/>
          <w:sz w:val="28"/>
          <w:szCs w:val="28"/>
        </w:rPr>
        <w:t xml:space="preserve">ности резервных источников электроснабжения и уточнить способы доставки их к месту возможной ЧС. 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</w:t>
      </w:r>
      <w:r>
        <w:rPr>
          <w:color w:val="000000"/>
          <w:sz w:val="28"/>
          <w:szCs w:val="28"/>
        </w:rPr>
        <w:t xml:space="preserve"> ЧС и происшествий на объектах ЖКХ и энергетики информировать население в СМИ о складывающейся оперативной обстановке.</w:t>
      </w:r>
    </w:p>
    <w:p w:rsidR="00163DE1" w:rsidRDefault="002E7D0D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</w:t>
      </w:r>
      <w:r>
        <w:rPr>
          <w:color w:val="000000"/>
          <w:sz w:val="28"/>
          <w:szCs w:val="28"/>
        </w:rPr>
        <w:t>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9. Во взаимодействии с ГИБДД осуществлять контроль за безопасностью дорожного движения. Организовать про</w:t>
      </w:r>
      <w:r>
        <w:rPr>
          <w:color w:val="000000"/>
          <w:sz w:val="28"/>
          <w:szCs w:val="28"/>
        </w:rPr>
        <w:t xml:space="preserve">ведение занятий по соблюдению детьми правил дорожного движения. 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</w:t>
      </w:r>
      <w:r>
        <w:rPr>
          <w:bCs/>
          <w:color w:val="000000"/>
          <w:sz w:val="28"/>
          <w:szCs w:val="28"/>
        </w:rPr>
        <w:t>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163DE1" w:rsidRDefault="002E7D0D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 xml:space="preserve">Коммунальным и дорожным службам своевременно </w:t>
      </w:r>
      <w:r>
        <w:rPr>
          <w:color w:val="000000"/>
          <w:sz w:val="28"/>
          <w:szCs w:val="28"/>
        </w:rPr>
        <w:t>реагировать на аварийные ситуации на дорогах, принимать меры для поддержания дорог в проезжем состоянии.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</w:t>
      </w:r>
      <w:r>
        <w:rPr>
          <w:bCs/>
          <w:color w:val="000000"/>
          <w:sz w:val="28"/>
          <w:szCs w:val="28"/>
        </w:rPr>
        <w:t>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163DE1" w:rsidRDefault="002E7D0D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</w:t>
      </w:r>
      <w:r>
        <w:rPr>
          <w:color w:val="000000"/>
          <w:sz w:val="28"/>
          <w:szCs w:val="28"/>
        </w:rPr>
        <w:t>изовать действенную работу по недопущению выезда транспортных средств на лед водных объектов.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13. Проводить работу </w:t>
      </w:r>
      <w:r>
        <w:rPr>
          <w:bCs/>
          <w:color w:val="000000"/>
          <w:sz w:val="28"/>
          <w:szCs w:val="28"/>
        </w:rPr>
        <w:t>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при необходимости ут</w:t>
      </w:r>
      <w:r>
        <w:rPr>
          <w:bCs/>
          <w:color w:val="000000"/>
          <w:sz w:val="28"/>
          <w:szCs w:val="28"/>
        </w:rPr>
        <w:t>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</w:t>
      </w:r>
      <w:r>
        <w:rPr>
          <w:bCs/>
          <w:color w:val="000000"/>
          <w:sz w:val="28"/>
          <w:szCs w:val="28"/>
        </w:rPr>
        <w:t xml:space="preserve">ники, предназначенной для работы в условиях паводка, в том числе плавающих средств; 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</w:t>
      </w:r>
      <w:r>
        <w:rPr>
          <w:bCs/>
          <w:color w:val="000000"/>
          <w:sz w:val="28"/>
          <w:szCs w:val="28"/>
        </w:rPr>
        <w:t>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</w:t>
      </w:r>
      <w:r>
        <w:rPr>
          <w:bCs/>
          <w:color w:val="000000"/>
          <w:sz w:val="28"/>
          <w:szCs w:val="28"/>
        </w:rPr>
        <w:t xml:space="preserve">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</w:t>
      </w:r>
      <w:r>
        <w:rPr>
          <w:bCs/>
          <w:color w:val="000000"/>
          <w:sz w:val="28"/>
          <w:szCs w:val="28"/>
        </w:rPr>
        <w:t>нах затопления, своевременного вывоза твердых бытовых отходов и очистку канализационных выгребов;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</w:t>
      </w:r>
      <w:r>
        <w:rPr>
          <w:bCs/>
          <w:color w:val="000000"/>
          <w:sz w:val="28"/>
          <w:szCs w:val="28"/>
        </w:rPr>
        <w:t>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</w:t>
      </w:r>
      <w:r>
        <w:rPr>
          <w:bCs/>
          <w:color w:val="000000"/>
          <w:sz w:val="28"/>
          <w:szCs w:val="28"/>
        </w:rPr>
        <w:t>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</w:t>
      </w:r>
      <w:r>
        <w:rPr>
          <w:bCs/>
          <w:color w:val="000000"/>
          <w:sz w:val="28"/>
          <w:szCs w:val="28"/>
        </w:rPr>
        <w:t xml:space="preserve"> пропуск паводковых вод на гидротехнических сооружениях;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</w:t>
      </w:r>
      <w:r>
        <w:rPr>
          <w:bCs/>
          <w:color w:val="000000"/>
          <w:sz w:val="28"/>
          <w:szCs w:val="28"/>
        </w:rPr>
        <w:t>им;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</w:t>
      </w:r>
      <w:r>
        <w:rPr>
          <w:bCs/>
          <w:color w:val="000000"/>
          <w:sz w:val="28"/>
          <w:szCs w:val="28"/>
        </w:rPr>
        <w:t>ьных, продовольственных, медицинских и иных средств для первоочередного жизнеобеспечения населения;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</w:t>
      </w:r>
      <w:r>
        <w:rPr>
          <w:bCs/>
          <w:color w:val="000000"/>
          <w:sz w:val="28"/>
          <w:szCs w:val="28"/>
        </w:rPr>
        <w:t>новки (при необходимости круглосуточно), проверить систему оповещения членов комиссий по чрезвычайным ситуациям;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</w:t>
      </w:r>
      <w:r>
        <w:rPr>
          <w:bCs/>
          <w:color w:val="000000"/>
          <w:sz w:val="28"/>
          <w:szCs w:val="28"/>
        </w:rPr>
        <w:t>ериоде, о складывающейся обстановке и принимаемых мерах по ее стабилизации;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</w:t>
      </w:r>
      <w:r>
        <w:rPr>
          <w:bCs/>
          <w:color w:val="000000"/>
          <w:sz w:val="28"/>
          <w:szCs w:val="28"/>
        </w:rPr>
        <w:t>трахования движимого и недвижимого имущества от причинения ущерба стихийным бедствием;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</w:t>
      </w:r>
      <w:r>
        <w:rPr>
          <w:bCs/>
          <w:color w:val="000000"/>
          <w:sz w:val="28"/>
          <w:szCs w:val="28"/>
        </w:rPr>
        <w:t>ства руководителей органов местного самоуправления муниципальных образований Новосибирской области в период паводка;</w:t>
      </w:r>
    </w:p>
    <w:p w:rsidR="00163DE1" w:rsidRDefault="002E7D0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</w:t>
      </w:r>
      <w:r>
        <w:rPr>
          <w:bCs/>
          <w:color w:val="000000"/>
          <w:sz w:val="28"/>
          <w:szCs w:val="28"/>
        </w:rPr>
        <w:t xml:space="preserve">аводковой обстановки в целях создания условий для нормального функционирования транспортного сообщения. </w:t>
      </w:r>
    </w:p>
    <w:p w:rsidR="00163DE1" w:rsidRDefault="002E7D0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соответствии с постановлением губернатора Новосибирской области от от 12.04.2024  № 76 «Об установлении начала пожароопасного сезона на территори</w:t>
      </w:r>
      <w:r>
        <w:rPr>
          <w:color w:val="000000"/>
          <w:sz w:val="28"/>
          <w:szCs w:val="28"/>
        </w:rPr>
        <w:t>и Новосибирской области в 2024 году» установить начало пожароопасного сезона в 2024 году: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 территории Баганского, Барабинского, Доволенского, Здвинского, Искитимского, Карасукского, Колыванского, Коченевского, Кочковского, Краснозерского, Купинского, Нов</w:t>
      </w:r>
      <w:r>
        <w:rPr>
          <w:color w:val="000000"/>
          <w:sz w:val="28"/>
          <w:szCs w:val="28"/>
          <w:highlight w:val="white"/>
        </w:rPr>
        <w:t>осибирского, Ордынского, Сузунского, Чистоозерного районов, в городах Бердске, Искитиме, Новосибирске, Оби и в рабочем поселке Кольцово Новосибирской области – с 15.04.2024;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 территории Болотнинского, Венгеровского, Каргатского, Куйбышевского, </w:t>
      </w:r>
      <w:r>
        <w:rPr>
          <w:color w:val="000000"/>
          <w:sz w:val="28"/>
          <w:szCs w:val="28"/>
          <w:highlight w:val="white"/>
        </w:rPr>
        <w:t xml:space="preserve">Кыштовского, Маслянинского, Мошковского, Северного, </w:t>
      </w:r>
      <w:r>
        <w:rPr>
          <w:color w:val="000000"/>
          <w:sz w:val="28"/>
          <w:szCs w:val="28"/>
          <w:highlight w:val="white"/>
        </w:rPr>
        <w:lastRenderedPageBreak/>
        <w:t>Татарского, Тогучинского, Убинского, Усть-Таркского, Чановского, Черепановского, Чулымского районов Новосибирской области – с 19.04.2024.</w:t>
      </w:r>
    </w:p>
    <w:p w:rsidR="00163DE1" w:rsidRDefault="002E7D0D">
      <w:pPr>
        <w:spacing w:line="310" w:lineRule="exact"/>
        <w:ind w:firstLine="567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</w:t>
      </w:r>
      <w:r>
        <w:rPr>
          <w:bCs/>
          <w:color w:val="000000"/>
          <w:sz w:val="28"/>
          <w:szCs w:val="28"/>
          <w:highlight w:val="white"/>
        </w:rPr>
        <w:t>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</w:t>
      </w:r>
      <w:r>
        <w:rPr>
          <w:color w:val="000000"/>
          <w:sz w:val="28"/>
          <w:szCs w:val="28"/>
          <w:highlight w:val="white"/>
        </w:rPr>
        <w:t>осибирской области: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</w:t>
      </w:r>
      <w:r>
        <w:rPr>
          <w:color w:val="000000"/>
          <w:sz w:val="28"/>
          <w:szCs w:val="28"/>
          <w:highlight w:val="white"/>
        </w:rPr>
        <w:t>о назначения;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</w:t>
      </w:r>
      <w:r>
        <w:rPr>
          <w:color w:val="000000"/>
          <w:sz w:val="28"/>
          <w:szCs w:val="28"/>
          <w:highlight w:val="white"/>
        </w:rPr>
        <w:t>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65–74 Правил противоп</w:t>
      </w:r>
      <w:r>
        <w:rPr>
          <w:color w:val="000000"/>
          <w:sz w:val="28"/>
          <w:szCs w:val="28"/>
          <w:highlight w:val="white"/>
        </w:rPr>
        <w:t>ожарного режима в Российской Федерации;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</w:t>
      </w:r>
      <w:r>
        <w:rPr>
          <w:color w:val="000000"/>
          <w:sz w:val="28"/>
          <w:szCs w:val="28"/>
          <w:highlight w:val="white"/>
        </w:rPr>
        <w:t>в лесах, а также о мерах административной и уголовной ответственности за их несоблюдение;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</w:t>
      </w:r>
      <w:r>
        <w:rPr>
          <w:color w:val="000000"/>
          <w:sz w:val="28"/>
          <w:szCs w:val="28"/>
          <w:highlight w:val="white"/>
        </w:rPr>
        <w:t xml:space="preserve">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</w:t>
      </w:r>
      <w:r>
        <w:rPr>
          <w:color w:val="000000"/>
          <w:sz w:val="28"/>
          <w:szCs w:val="28"/>
          <w:highlight w:val="white"/>
        </w:rPr>
        <w:t>новленными пунктом 63 Правил противопожарного режима в Российской Федерации;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</w:t>
      </w:r>
      <w:r>
        <w:rPr>
          <w:color w:val="000000"/>
          <w:sz w:val="28"/>
          <w:szCs w:val="28"/>
          <w:highlight w:val="white"/>
        </w:rPr>
        <w:t>й безопасности, в соответствии с приложением № 4 Правил противопожарного режима в Российской Федерации;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</w:t>
      </w:r>
      <w:r>
        <w:rPr>
          <w:color w:val="000000"/>
          <w:sz w:val="28"/>
          <w:szCs w:val="28"/>
          <w:highlight w:val="white"/>
        </w:rPr>
        <w:t>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</w:t>
      </w:r>
      <w:r>
        <w:rPr>
          <w:color w:val="000000"/>
          <w:sz w:val="28"/>
          <w:szCs w:val="28"/>
          <w:highlight w:val="white"/>
        </w:rPr>
        <w:t>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со дня схода снежного покрова организовать проведение работ по очистке территорий сельских поселений от сухо</w:t>
      </w:r>
      <w:r>
        <w:rPr>
          <w:color w:val="000000"/>
          <w:sz w:val="28"/>
          <w:szCs w:val="28"/>
          <w:highlight w:val="white"/>
        </w:rPr>
        <w:t>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</w:t>
      </w:r>
      <w:r>
        <w:rPr>
          <w:color w:val="000000"/>
          <w:sz w:val="28"/>
          <w:szCs w:val="28"/>
          <w:highlight w:val="white"/>
        </w:rPr>
        <w:t>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</w:t>
      </w:r>
      <w:r>
        <w:rPr>
          <w:color w:val="000000"/>
          <w:sz w:val="28"/>
          <w:szCs w:val="28"/>
          <w:highlight w:val="white"/>
        </w:rPr>
        <w:t>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</w:t>
      </w:r>
      <w:r>
        <w:rPr>
          <w:color w:val="000000"/>
          <w:sz w:val="28"/>
          <w:szCs w:val="28"/>
          <w:highlight w:val="white"/>
        </w:rPr>
        <w:t>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</w:t>
      </w:r>
      <w:r>
        <w:rPr>
          <w:color w:val="000000"/>
          <w:sz w:val="28"/>
          <w:szCs w:val="28"/>
          <w:highlight w:val="white"/>
        </w:rPr>
        <w:t>ротивопожарных минерализованных полос, отделяющих лес, шириной не менее 1,4 метра или иных противопожарных барьеров;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</w:t>
      </w:r>
      <w:r>
        <w:rPr>
          <w:color w:val="000000"/>
          <w:sz w:val="28"/>
          <w:szCs w:val="28"/>
          <w:highlight w:val="white"/>
        </w:rPr>
        <w:t>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</w:t>
      </w:r>
      <w:r>
        <w:rPr>
          <w:color w:val="000000"/>
          <w:sz w:val="28"/>
          <w:szCs w:val="28"/>
          <w:highlight w:val="white"/>
        </w:rPr>
        <w:t xml:space="preserve">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</w:t>
      </w:r>
      <w:r>
        <w:rPr>
          <w:color w:val="000000"/>
          <w:sz w:val="28"/>
          <w:szCs w:val="28"/>
          <w:highlight w:val="white"/>
        </w:rPr>
        <w:t>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</w:t>
      </w:r>
      <w:r>
        <w:rPr>
          <w:color w:val="000000"/>
          <w:sz w:val="28"/>
          <w:szCs w:val="28"/>
          <w:highlight w:val="white"/>
        </w:rPr>
        <w:t>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</w:t>
      </w:r>
      <w:r>
        <w:rPr>
          <w:color w:val="000000"/>
          <w:sz w:val="28"/>
          <w:szCs w:val="28"/>
          <w:highlight w:val="white"/>
        </w:rPr>
        <w:t>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</w:t>
      </w:r>
      <w:r>
        <w:rPr>
          <w:color w:val="000000"/>
          <w:sz w:val="28"/>
          <w:szCs w:val="28"/>
          <w:highlight w:val="white"/>
        </w:rPr>
        <w:t>состоянием имеющихся источников наружного противопожарного водоснабжения;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осуществить подготовку и поддерж</w:t>
      </w:r>
      <w:r>
        <w:rPr>
          <w:color w:val="000000"/>
          <w:sz w:val="28"/>
          <w:szCs w:val="28"/>
          <w:highlight w:val="white"/>
        </w:rPr>
        <w:t>ание в готовности достаточного количества сил и средств для защиты населения и территорий от чрезвычайных ситуаций;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</w:t>
      </w:r>
      <w:r>
        <w:rPr>
          <w:color w:val="000000"/>
          <w:sz w:val="28"/>
          <w:szCs w:val="28"/>
          <w:highlight w:val="white"/>
        </w:rPr>
        <w:t>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обеспечить с</w:t>
      </w:r>
      <w:r>
        <w:rPr>
          <w:color w:val="000000"/>
          <w:sz w:val="28"/>
          <w:szCs w:val="28"/>
          <w:highlight w:val="white"/>
        </w:rPr>
        <w:t>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63DE1" w:rsidRDefault="002E7D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обеспечить</w:t>
      </w:r>
      <w:r>
        <w:rPr>
          <w:color w:val="000000"/>
          <w:sz w:val="28"/>
          <w:szCs w:val="28"/>
          <w:highlight w:val="white"/>
        </w:rPr>
        <w:t xml:space="preserve"> готовность к проведению эвакуационных мероприятий в случае возникновения чрезвычайной ситуации;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</w:t>
      </w:r>
      <w:r>
        <w:rPr>
          <w:color w:val="000000"/>
          <w:sz w:val="28"/>
          <w:szCs w:val="28"/>
        </w:rPr>
        <w:t>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</w:t>
      </w:r>
      <w:r>
        <w:rPr>
          <w:color w:val="000000"/>
          <w:sz w:val="28"/>
          <w:szCs w:val="28"/>
        </w:rPr>
        <w:t>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</w:t>
      </w:r>
      <w:r>
        <w:rPr>
          <w:color w:val="000000"/>
          <w:sz w:val="28"/>
          <w:szCs w:val="28"/>
        </w:rPr>
        <w:t>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</w:t>
      </w:r>
      <w:r>
        <w:rPr>
          <w:color w:val="000000"/>
          <w:sz w:val="28"/>
          <w:szCs w:val="28"/>
        </w:rPr>
        <w:t>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</w:t>
      </w:r>
      <w:r>
        <w:rPr>
          <w:color w:val="000000"/>
          <w:sz w:val="28"/>
          <w:szCs w:val="28"/>
        </w:rPr>
        <w:t>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</w:t>
      </w:r>
      <w:r>
        <w:rPr>
          <w:color w:val="000000"/>
          <w:sz w:val="28"/>
          <w:szCs w:val="28"/>
        </w:rPr>
        <w:t>ать в состоянии работоспособности системы противопожарного водоснабжения и оповещения населения о пожаре;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профилактике возникновения </w:t>
      </w:r>
      <w:r>
        <w:rPr>
          <w:color w:val="000000"/>
          <w:sz w:val="28"/>
          <w:szCs w:val="28"/>
        </w:rPr>
        <w:t>пожаров по причине детской шалости;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163DE1" w:rsidRDefault="002E7D0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16. При возникновении ЧС немедленно инфор</w:t>
      </w:r>
      <w:r>
        <w:rPr>
          <w:color w:val="000000"/>
          <w:sz w:val="28"/>
          <w:szCs w:val="28"/>
        </w:rPr>
        <w:t>мировать старшего оперативного дежурного ЦУКС ГУ МЧС России по Новосибирской области по телефону 8-(383)-217-68-06.</w:t>
      </w:r>
    </w:p>
    <w:p w:rsidR="00163DE1" w:rsidRDefault="00163DE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63DE1" w:rsidRDefault="00163DE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63DE1" w:rsidRDefault="00163DE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21" w:name="_Hlk163747752"/>
      <w:bookmarkEnd w:id="21"/>
    </w:p>
    <w:p w:rsidR="00163DE1" w:rsidRDefault="002E7D0D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163DE1" w:rsidRDefault="002E7D0D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163DE1" w:rsidRDefault="002E7D0D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3922395</wp:posOffset>
            </wp:positionH>
            <wp:positionV relativeFrom="paragraph">
              <wp:posOffset>135255</wp:posOffset>
            </wp:positionV>
            <wp:extent cx="835025" cy="38925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163DE1" w:rsidRDefault="002E7D0D">
      <w:pPr>
        <w:tabs>
          <w:tab w:val="left" w:pos="7938"/>
          <w:tab w:val="left" w:pos="8080"/>
        </w:tabs>
      </w:pPr>
      <w:r>
        <w:rPr>
          <w:color w:val="000000"/>
          <w:sz w:val="28"/>
          <w:szCs w:val="28"/>
        </w:rPr>
        <w:t xml:space="preserve">полковник вн. службы                                                                       </w:t>
      </w:r>
      <w:r>
        <w:rPr>
          <w:sz w:val="28"/>
          <w:szCs w:val="28"/>
          <w:lang w:eastAsia="ru-RU"/>
        </w:rPr>
        <w:t>А.Н. Савицкий</w:t>
      </w:r>
    </w:p>
    <w:p w:rsidR="00163DE1" w:rsidRDefault="00163DE1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163DE1" w:rsidRDefault="00163DE1">
      <w:pPr>
        <w:tabs>
          <w:tab w:val="left" w:pos="4545"/>
          <w:tab w:val="left" w:pos="4590"/>
        </w:tabs>
        <w:spacing w:line="310" w:lineRule="exact"/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163DE1">
      <w:pPr>
        <w:jc w:val="both"/>
        <w:rPr>
          <w:color w:val="000000"/>
          <w:sz w:val="16"/>
          <w:szCs w:val="16"/>
        </w:rPr>
      </w:pPr>
    </w:p>
    <w:p w:rsidR="00163DE1" w:rsidRDefault="002E7D0D">
      <w:pPr>
        <w:jc w:val="both"/>
      </w:pPr>
      <w:r>
        <w:rPr>
          <w:color w:val="000000"/>
          <w:sz w:val="16"/>
          <w:szCs w:val="16"/>
        </w:rPr>
        <w:t>исп. Митрофанов М.В.</w:t>
      </w:r>
    </w:p>
    <w:p w:rsidR="00163DE1" w:rsidRDefault="002E7D0D" w:rsidP="00825CFC">
      <w:pPr>
        <w:jc w:val="both"/>
      </w:pPr>
      <w:r>
        <w:rPr>
          <w:color w:val="000000"/>
          <w:sz w:val="16"/>
          <w:szCs w:val="16"/>
        </w:rPr>
        <w:t>Тел. 8-(383)-203-50-03, 33-500-412</w:t>
      </w:r>
      <w:bookmarkStart w:id="22" w:name="_GoBack"/>
      <w:bookmarkEnd w:id="22"/>
    </w:p>
    <w:sectPr w:rsidR="00163DE1">
      <w:headerReference w:type="default" r:id="rId9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0D" w:rsidRDefault="002E7D0D">
      <w:r>
        <w:separator/>
      </w:r>
    </w:p>
  </w:endnote>
  <w:endnote w:type="continuationSeparator" w:id="0">
    <w:p w:rsidR="002E7D0D" w:rsidRDefault="002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</w:font>
  <w:font w:name="Noto Sans Devanagari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0D" w:rsidRDefault="002E7D0D">
      <w:r>
        <w:separator/>
      </w:r>
    </w:p>
  </w:footnote>
  <w:footnote w:type="continuationSeparator" w:id="0">
    <w:p w:rsidR="002E7D0D" w:rsidRDefault="002E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E1" w:rsidRDefault="002E7D0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25CFC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F71"/>
    <w:multiLevelType w:val="multilevel"/>
    <w:tmpl w:val="83CA54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99C6C71"/>
    <w:multiLevelType w:val="multilevel"/>
    <w:tmpl w:val="F8A6ABD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5ACB746B"/>
    <w:multiLevelType w:val="multilevel"/>
    <w:tmpl w:val="E8DE1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701BE4"/>
    <w:multiLevelType w:val="multilevel"/>
    <w:tmpl w:val="479A39F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E1"/>
    <w:rsid w:val="00163DE1"/>
    <w:rsid w:val="002E7D0D"/>
    <w:rsid w:val="008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71899-B93E-484F-978E-51EC575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10">
    <w:name w:val="Основной шрифт абзаца1"/>
    <w:qFormat/>
  </w:style>
  <w:style w:type="character" w:styleId="af0">
    <w:name w:val="page number"/>
    <w:basedOn w:val="10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widowControl w:val="0"/>
      <w:jc w:val="both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basedOn w:val="a4"/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1c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e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2e">
    <w:name w:val="toc 2"/>
    <w:basedOn w:val="a"/>
    <w:next w:val="a"/>
    <w:uiPriority w:val="39"/>
    <w:unhideWhenUsed/>
    <w:pPr>
      <w:spacing w:after="57"/>
      <w:ind w:left="283"/>
    </w:pPr>
  </w:style>
  <w:style w:type="paragraph" w:styleId="3b">
    <w:name w:val="toc 3"/>
    <w:basedOn w:val="a"/>
    <w:next w:val="a"/>
    <w:uiPriority w:val="39"/>
    <w:unhideWhenUsed/>
    <w:pPr>
      <w:spacing w:after="57"/>
      <w:ind w:left="567"/>
    </w:pPr>
  </w:style>
  <w:style w:type="paragraph" w:styleId="4c">
    <w:name w:val="toc 4"/>
    <w:basedOn w:val="a"/>
    <w:next w:val="a"/>
    <w:uiPriority w:val="39"/>
    <w:unhideWhenUsed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pPr>
      <w:spacing w:after="57"/>
      <w:ind w:left="1134"/>
    </w:pPr>
  </w:style>
  <w:style w:type="paragraph" w:styleId="6b">
    <w:name w:val="toc 6"/>
    <w:basedOn w:val="a"/>
    <w:next w:val="a"/>
    <w:uiPriority w:val="39"/>
    <w:unhideWhenUsed/>
    <w:pPr>
      <w:spacing w:after="57"/>
      <w:ind w:left="1417"/>
    </w:pPr>
  </w:style>
  <w:style w:type="paragraph" w:styleId="7b">
    <w:name w:val="toc 7"/>
    <w:basedOn w:val="a"/>
    <w:next w:val="a"/>
    <w:uiPriority w:val="39"/>
    <w:unhideWhenUsed/>
    <w:pPr>
      <w:spacing w:after="57"/>
      <w:ind w:left="1701"/>
    </w:pPr>
  </w:style>
  <w:style w:type="paragraph" w:styleId="85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qFormat/>
  </w:style>
  <w:style w:type="paragraph" w:customStyle="1" w:styleId="820">
    <w:name w:val="Заголовок8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f0">
    <w:name w:val="Текст примечания1"/>
    <w:basedOn w:val="a"/>
    <w:qFormat/>
  </w:style>
  <w:style w:type="paragraph" w:styleId="aff">
    <w:name w:val="annotation subject"/>
    <w:basedOn w:val="1f0"/>
    <w:next w:val="1f0"/>
    <w:qFormat/>
    <w:rPr>
      <w:b/>
      <w:bCs/>
    </w:rPr>
  </w:style>
  <w:style w:type="paragraph" w:customStyle="1" w:styleId="aff0">
    <w:name w:val="Колонтитул"/>
    <w:basedOn w:val="a"/>
    <w:qFormat/>
  </w:style>
  <w:style w:type="paragraph" w:customStyle="1" w:styleId="2f">
    <w:name w:val="Верхний колонтитул2"/>
    <w:basedOn w:val="a"/>
    <w:qFormat/>
  </w:style>
  <w:style w:type="paragraph" w:styleId="aff1">
    <w:name w:val="Body Text Indent"/>
    <w:basedOn w:val="a"/>
    <w:pPr>
      <w:ind w:left="851" w:firstLine="709"/>
      <w:jc w:val="both"/>
    </w:pPr>
    <w:rPr>
      <w:sz w:val="28"/>
    </w:rPr>
  </w:style>
  <w:style w:type="paragraph" w:customStyle="1" w:styleId="2f0">
    <w:name w:val="Нижний колонтитул2"/>
    <w:basedOn w:val="a"/>
    <w:qFormat/>
    <w:rPr>
      <w:sz w:val="28"/>
    </w:rPr>
  </w:style>
  <w:style w:type="paragraph" w:styleId="aff2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Заголовок1"/>
    <w:basedOn w:val="a"/>
    <w:next w:val="af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</w:style>
  <w:style w:type="paragraph" w:styleId="aff4">
    <w:name w:val="No Spacing"/>
    <w:qFormat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pPr>
      <w:widowControl w:val="0"/>
    </w:pPr>
    <w:rPr>
      <w:color w:val="000000"/>
    </w:rPr>
  </w:style>
  <w:style w:type="paragraph" w:styleId="aff9">
    <w:name w:val="header"/>
    <w:basedOn w:val="aff0"/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table" w:styleId="1f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f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f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f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2024-04-17T01:33:00Z</dcterms:created>
  <dcterms:modified xsi:type="dcterms:W3CDTF">2024-04-17T01:33:00Z</dcterms:modified>
  <dc:language>ru-RU</dc:language>
  <cp:version>1048576</cp:version>
</cp:coreProperties>
</file>